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Порядок возмещения вреда, причиненного несовершеннолетними.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1073 Гражданского кодекса РФ за вред, причиненный ребенком до 14 лет, то есть малолетним, отвечают его родители (усыновители) или опекуны, если не докажут, что вред возник не по их вине.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причиненный малолетним гражданином. При этом  также необходимо представить доказательства отсутствия вины.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Законом предусмотрены случаи, когда малолетний гражданин причинил вред во время его временного нахождения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 основании договора. В указанной ситуации  данная организация либо лицо отвечает за причиненный вред, если не докажет, что вред возник не по их вине при осуществлении надзора.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части 4 статьи 1073 Гражданского кодекса РФ, в случае если родители (усыновители), опекуны либо другие граждане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этом если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 смыслу действующего законодательства организация для детей-сирот и детей, оставшихся без попечения родителей, в которую  был помещен под надзор несовершеннолетний гражданин в возрасте от четырнадцати до восемнадцати лет, обязана возместить вред полностью или в недостающей части, если не докажет, что вред возник не по ее вине.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Обязанность родителей (усыновителей), попечителя и соответствующей организации по возмещению вреда, причиненного несовершеннолетним, прекращается: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 достижении 18-летия;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случаях, когда у него до достижения совершеннолетия появились доходы или иное имущество, достаточные для возмещения вреда;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когда он до достижения совершеннолетия приобрел дееспособность.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Следует отметить, что даже лишенный родительских прав родитель на основании решения суда может нести ответственность за вред, причиненный его несовершеннолетним ребенком в течение трех лет после лишения родительских прав. При этом данное правило действует, если поведение ребенка, повлекшее причинение вреда, явилось следствием ненадлежащего осуществления родительских обязанностей.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Старший помощник прокурора                                                        А.В. Лось</w:t>
      </w:r>
    </w:p>
    <w:p>
      <w:pPr>
        <w:pStyle w:val="Normal"/>
        <w:spacing w:lineRule="auto" w:line="240" w:before="0" w:after="0"/>
        <w:rPr/>
      </w:pPr>
      <w:r>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eb6cc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LibreOffice/5.1.6.2$Linux_X86_64 LibreOffice_project/10m0$Build-2</Application>
  <Pages>2</Pages>
  <Words>516</Words>
  <CharactersWithSpaces>2943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2015-01-20T07:06:00Z</dcterms:created>
  <dc:creator>User</dc:creator>
  <dc:description/>
  <dc:language>ru-RU</dc:language>
  <cp:lastModifiedBy>User</cp:lastModifiedBy>
  <dcterms:modified xsi:type="dcterms:W3CDTF">2015-02-17T03:23:00Z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